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7"/>
        <w:ind w:left="116"/>
      </w:pPr>
      <w:r>
        <w:rPr/>
        <w:t>Město</w:t>
      </w:r>
      <w:r>
        <w:rPr>
          <w:spacing w:val="-3"/>
        </w:rPr>
        <w:t> </w:t>
      </w:r>
      <w:r>
        <w:rPr>
          <w:spacing w:val="-2"/>
        </w:rPr>
        <w:t>Zdice</w:t>
      </w:r>
    </w:p>
    <w:p>
      <w:pPr>
        <w:spacing w:line="240" w:lineRule="auto" w:before="10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Title"/>
      </w:pPr>
      <w:r>
        <w:rPr>
          <w:spacing w:val="-2"/>
        </w:rPr>
        <w:t>ZÁSADY</w:t>
      </w:r>
    </w:p>
    <w:p>
      <w:pPr>
        <w:spacing w:after="0"/>
        <w:sectPr>
          <w:type w:val="continuous"/>
          <w:pgSz w:w="11910" w:h="16840"/>
          <w:pgMar w:top="1360" w:bottom="280" w:left="1300" w:right="1300"/>
          <w:cols w:num="2" w:equalWidth="0">
            <w:col w:w="1253" w:space="2753"/>
            <w:col w:w="5304"/>
          </w:cols>
        </w:sectPr>
      </w:pPr>
    </w:p>
    <w:p>
      <w:pPr>
        <w:pStyle w:val="BodyText"/>
        <w:spacing w:before="79"/>
        <w:ind w:left="116"/>
      </w:pPr>
      <w:r>
        <w:rPr/>
        <w:t>pro</w:t>
      </w:r>
      <w:r>
        <w:rPr>
          <w:spacing w:val="-7"/>
        </w:rPr>
        <w:t> </w:t>
      </w:r>
      <w:r>
        <w:rPr/>
        <w:t>poskytnutí</w:t>
      </w:r>
      <w:r>
        <w:rPr>
          <w:spacing w:val="-4"/>
        </w:rPr>
        <w:t> </w:t>
      </w:r>
      <w:r>
        <w:rPr/>
        <w:t>příspěvku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opravu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obnovu</w:t>
      </w:r>
      <w:r>
        <w:rPr>
          <w:spacing w:val="-5"/>
        </w:rPr>
        <w:t> </w:t>
      </w:r>
      <w:r>
        <w:rPr/>
        <w:t>fasád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venkovních</w:t>
      </w:r>
      <w:r>
        <w:rPr>
          <w:spacing w:val="-8"/>
        </w:rPr>
        <w:t> </w:t>
      </w:r>
      <w:r>
        <w:rPr/>
        <w:t>omítek</w:t>
      </w:r>
      <w:r>
        <w:rPr>
          <w:spacing w:val="-6"/>
        </w:rPr>
        <w:t> </w:t>
      </w:r>
      <w:r>
        <w:rPr/>
        <w:t>objektů</w:t>
      </w:r>
      <w:r>
        <w:rPr>
          <w:spacing w:val="-7"/>
        </w:rPr>
        <w:t> </w:t>
      </w:r>
      <w:r>
        <w:rPr/>
        <w:t>rodinných</w:t>
      </w:r>
      <w:r>
        <w:rPr>
          <w:spacing w:val="-4"/>
        </w:rPr>
        <w:t> </w:t>
      </w:r>
      <w:r>
        <w:rPr/>
        <w:t>domů</w:t>
      </w:r>
      <w:r>
        <w:rPr>
          <w:spacing w:val="-4"/>
        </w:rPr>
        <w:t> </w:t>
      </w:r>
      <w:r>
        <w:rPr>
          <w:spacing w:val="-5"/>
        </w:rPr>
        <w:t>ve</w:t>
      </w:r>
    </w:p>
    <w:p>
      <w:pPr>
        <w:pStyle w:val="BodyText"/>
        <w:spacing w:before="38"/>
        <w:ind w:left="116"/>
      </w:pPr>
      <w:r>
        <w:rPr>
          <w:spacing w:val="-2"/>
        </w:rPr>
        <w:t>Zdice.</w:t>
      </w:r>
    </w:p>
    <w:p>
      <w:pPr>
        <w:pStyle w:val="BodyText"/>
        <w:spacing w:before="121"/>
        <w:ind w:left="116"/>
      </w:pPr>
      <w:r>
        <w:rPr/>
        <w:t>městě</w:t>
      </w:r>
      <w:r>
        <w:rPr>
          <w:spacing w:val="-5"/>
        </w:rPr>
        <w:t> </w:t>
      </w:r>
      <w:r>
        <w:rPr/>
        <w:t>Cílem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/>
        <w:t>zlepšení</w:t>
      </w:r>
      <w:r>
        <w:rPr>
          <w:spacing w:val="-6"/>
        </w:rPr>
        <w:t> </w:t>
      </w:r>
      <w:r>
        <w:rPr/>
        <w:t>vzhledu</w:t>
      </w:r>
      <w:r>
        <w:rPr>
          <w:spacing w:val="-4"/>
        </w:rPr>
        <w:t> </w:t>
      </w:r>
      <w:r>
        <w:rPr>
          <w:spacing w:val="-2"/>
        </w:rPr>
        <w:t>města.</w:t>
      </w:r>
    </w:p>
    <w:p>
      <w:pPr>
        <w:pStyle w:val="Heading1"/>
        <w:numPr>
          <w:ilvl w:val="0"/>
          <w:numId w:val="1"/>
        </w:numPr>
        <w:tabs>
          <w:tab w:pos="834" w:val="left" w:leader="none"/>
        </w:tabs>
        <w:spacing w:line="240" w:lineRule="auto" w:before="120" w:after="0"/>
        <w:ind w:left="834" w:right="0" w:hanging="358"/>
        <w:jc w:val="left"/>
      </w:pPr>
      <w:r>
        <w:rPr/>
        <w:t>Termín</w:t>
      </w:r>
      <w:r>
        <w:rPr>
          <w:spacing w:val="-7"/>
        </w:rPr>
        <w:t> </w:t>
      </w:r>
      <w:r>
        <w:rPr/>
        <w:t>předložení</w:t>
      </w:r>
      <w:r>
        <w:rPr>
          <w:spacing w:val="-6"/>
        </w:rPr>
        <w:t> </w:t>
      </w:r>
      <w:r>
        <w:rPr/>
        <w:t>přihlášek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žádostí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BodyText"/>
        <w:spacing w:line="276" w:lineRule="auto"/>
        <w:ind w:left="476"/>
      </w:pPr>
      <w:r>
        <w:rPr/>
        <w:t>Během</w:t>
      </w:r>
      <w:r>
        <w:rPr>
          <w:spacing w:val="-2"/>
        </w:rPr>
        <w:t> </w:t>
      </w:r>
      <w:r>
        <w:rPr/>
        <w:t>kalendářního</w:t>
      </w:r>
      <w:r>
        <w:rPr>
          <w:spacing w:val="-2"/>
        </w:rPr>
        <w:t> </w:t>
      </w:r>
      <w:r>
        <w:rPr/>
        <w:t>roku,</w:t>
      </w:r>
      <w:r>
        <w:rPr>
          <w:spacing w:val="-5"/>
        </w:rPr>
        <w:t> </w:t>
      </w:r>
      <w:r>
        <w:rPr/>
        <w:t>pokud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rozpočtu</w:t>
      </w:r>
      <w:r>
        <w:rPr>
          <w:spacing w:val="-3"/>
        </w:rPr>
        <w:t> </w:t>
      </w:r>
      <w:r>
        <w:rPr/>
        <w:t>příslušného</w:t>
      </w:r>
      <w:r>
        <w:rPr>
          <w:spacing w:val="-3"/>
        </w:rPr>
        <w:t> </w:t>
      </w:r>
      <w:r>
        <w:rPr/>
        <w:t>roku</w:t>
      </w:r>
      <w:r>
        <w:rPr>
          <w:spacing w:val="-3"/>
        </w:rPr>
        <w:t> </w:t>
      </w:r>
      <w:r>
        <w:rPr/>
        <w:t>bude</w:t>
      </w:r>
      <w:r>
        <w:rPr>
          <w:spacing w:val="-3"/>
        </w:rPr>
        <w:t> </w:t>
      </w:r>
      <w:r>
        <w:rPr/>
        <w:t>poskytování</w:t>
      </w:r>
      <w:r>
        <w:rPr>
          <w:spacing w:val="-3"/>
        </w:rPr>
        <w:t> </w:t>
      </w:r>
      <w:r>
        <w:rPr/>
        <w:t>příspěvku zařazeno. Přihlášky se podávají nejpozději do 30 dní od ukončení opravy omítky objektu.</w:t>
      </w:r>
    </w:p>
    <w:p>
      <w:pPr>
        <w:pStyle w:val="BodyText"/>
        <w:spacing w:line="268" w:lineRule="exact"/>
        <w:ind w:left="476"/>
      </w:pPr>
      <w:r>
        <w:rPr/>
        <w:t>Přihlášky</w:t>
      </w:r>
      <w:r>
        <w:rPr>
          <w:spacing w:val="-4"/>
        </w:rPr>
        <w:t> </w:t>
      </w:r>
      <w:r>
        <w:rPr/>
        <w:t>je</w:t>
      </w:r>
      <w:r>
        <w:rPr>
          <w:spacing w:val="-6"/>
        </w:rPr>
        <w:t> </w:t>
      </w:r>
      <w:r>
        <w:rPr/>
        <w:t>možné</w:t>
      </w:r>
      <w:r>
        <w:rPr>
          <w:spacing w:val="-4"/>
        </w:rPr>
        <w:t> </w:t>
      </w:r>
      <w:r>
        <w:rPr/>
        <w:t>podávat</w:t>
      </w:r>
      <w:r>
        <w:rPr>
          <w:spacing w:val="-6"/>
        </w:rPr>
        <w:t> </w:t>
      </w:r>
      <w:r>
        <w:rPr/>
        <w:t>opakovaně</w:t>
      </w:r>
      <w:r>
        <w:rPr>
          <w:spacing w:val="-4"/>
        </w:rPr>
        <w:t> </w:t>
      </w:r>
      <w:r>
        <w:rPr/>
        <w:t>nejdříve</w:t>
      </w:r>
      <w:r>
        <w:rPr>
          <w:spacing w:val="-4"/>
        </w:rPr>
        <w:t> </w:t>
      </w:r>
      <w:r>
        <w:rPr/>
        <w:t>po</w:t>
      </w:r>
      <w:r>
        <w:rPr>
          <w:spacing w:val="-5"/>
        </w:rPr>
        <w:t> </w:t>
      </w:r>
      <w:r>
        <w:rPr/>
        <w:t>15</w:t>
      </w:r>
      <w:r>
        <w:rPr>
          <w:spacing w:val="-7"/>
        </w:rPr>
        <w:t> </w:t>
      </w:r>
      <w:r>
        <w:rPr>
          <w:spacing w:val="-2"/>
        </w:rPr>
        <w:t>letech.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4" w:right="0" w:hanging="358"/>
        <w:jc w:val="left"/>
      </w:pPr>
      <w:r>
        <w:rPr/>
        <w:t>Vymezení</w:t>
      </w:r>
      <w:r>
        <w:rPr>
          <w:spacing w:val="-7"/>
        </w:rPr>
        <w:t> </w:t>
      </w:r>
      <w:r>
        <w:rPr/>
        <w:t>oblasti</w:t>
      </w:r>
      <w:r>
        <w:rPr>
          <w:spacing w:val="-5"/>
        </w:rPr>
        <w:t> </w:t>
      </w:r>
      <w:r>
        <w:rPr/>
        <w:t>pro</w:t>
      </w:r>
      <w:r>
        <w:rPr>
          <w:spacing w:val="-4"/>
        </w:rPr>
        <w:t> </w:t>
      </w:r>
      <w:r>
        <w:rPr/>
        <w:t>přidělení</w:t>
      </w:r>
      <w:r>
        <w:rPr>
          <w:spacing w:val="-4"/>
        </w:rPr>
        <w:t> </w:t>
      </w:r>
      <w:r>
        <w:rPr>
          <w:spacing w:val="-2"/>
        </w:rPr>
        <w:t>příspěvku</w:t>
      </w:r>
    </w:p>
    <w:p>
      <w:pPr>
        <w:pStyle w:val="BodyText"/>
        <w:spacing w:before="42"/>
        <w:ind w:left="399"/>
      </w:pPr>
      <w:r>
        <w:rPr/>
        <w:t>Přihlášku</w:t>
      </w:r>
      <w:r>
        <w:rPr>
          <w:spacing w:val="-2"/>
        </w:rPr>
        <w:t> </w:t>
      </w:r>
      <w:r>
        <w:rPr/>
        <w:t>mohou</w:t>
      </w:r>
      <w:r>
        <w:rPr>
          <w:spacing w:val="-1"/>
        </w:rPr>
        <w:t> </w:t>
      </w:r>
      <w:r>
        <w:rPr/>
        <w:t>podat</w:t>
      </w:r>
      <w:r>
        <w:rPr>
          <w:spacing w:val="-3"/>
        </w:rPr>
        <w:t> </w:t>
      </w:r>
      <w:r>
        <w:rPr/>
        <w:t>vlastníci</w:t>
      </w:r>
      <w:r>
        <w:rPr>
          <w:spacing w:val="-1"/>
        </w:rPr>
        <w:t> </w:t>
      </w:r>
      <w:r>
        <w:rPr/>
        <w:t>objektů</w:t>
      </w:r>
      <w:r>
        <w:rPr>
          <w:spacing w:val="-1"/>
        </w:rPr>
        <w:t> </w:t>
      </w:r>
      <w:r>
        <w:rPr/>
        <w:t>v</w:t>
      </w:r>
      <w:r>
        <w:rPr>
          <w:spacing w:val="2"/>
        </w:rPr>
        <w:t> </w:t>
      </w:r>
      <w:r>
        <w:rPr/>
        <w:t>Husově ulici; vlastníci</w:t>
      </w:r>
      <w:r>
        <w:rPr>
          <w:spacing w:val="-1"/>
        </w:rPr>
        <w:t> </w:t>
      </w:r>
      <w:r>
        <w:rPr/>
        <w:t>4 RD v</w:t>
      </w:r>
      <w:r>
        <w:rPr>
          <w:spacing w:val="-1"/>
        </w:rPr>
        <w:t> </w:t>
      </w:r>
      <w:r>
        <w:rPr/>
        <w:t>k.</w:t>
      </w:r>
      <w:r>
        <w:rPr>
          <w:spacing w:val="-1"/>
        </w:rPr>
        <w:t> </w:t>
      </w:r>
      <w:r>
        <w:rPr/>
        <w:t>ú.</w:t>
      </w:r>
      <w:r>
        <w:rPr>
          <w:spacing w:val="1"/>
        </w:rPr>
        <w:t> </w:t>
      </w:r>
      <w:r>
        <w:rPr/>
        <w:t>Černín</w:t>
      </w:r>
      <w:r>
        <w:rPr>
          <w:spacing w:val="1"/>
        </w:rPr>
        <w:t> </w:t>
      </w:r>
      <w:r>
        <w:rPr/>
        <w:t>při</w:t>
      </w:r>
      <w:r>
        <w:rPr>
          <w:spacing w:val="2"/>
        </w:rPr>
        <w:t> </w:t>
      </w:r>
      <w:r>
        <w:rPr>
          <w:spacing w:val="-2"/>
        </w:rPr>
        <w:t>komunikaci</w:t>
      </w:r>
    </w:p>
    <w:p>
      <w:pPr>
        <w:pStyle w:val="BodyText"/>
        <w:spacing w:line="273" w:lineRule="auto" w:before="41"/>
        <w:ind w:left="399" w:right="3453"/>
      </w:pPr>
      <w:r>
        <w:rPr/>
        <w:t>II/605;</w:t>
      </w:r>
      <w:r>
        <w:rPr>
          <w:spacing w:val="-4"/>
        </w:rPr>
        <w:t> </w:t>
      </w:r>
      <w:r>
        <w:rPr/>
        <w:t>v</w:t>
      </w:r>
      <w:r>
        <w:rPr>
          <w:spacing w:val="-3"/>
        </w:rPr>
        <w:t> </w:t>
      </w:r>
      <w:r>
        <w:rPr/>
        <w:t>části</w:t>
      </w:r>
      <w:r>
        <w:rPr>
          <w:spacing w:val="-4"/>
        </w:rPr>
        <w:t> </w:t>
      </w:r>
      <w:r>
        <w:rPr/>
        <w:t>ul.</w:t>
      </w:r>
      <w:r>
        <w:rPr>
          <w:spacing w:val="-4"/>
        </w:rPr>
        <w:t> </w:t>
      </w:r>
      <w:r>
        <w:rPr/>
        <w:t>Čs.</w:t>
      </w:r>
      <w:r>
        <w:rPr>
          <w:spacing w:val="-2"/>
        </w:rPr>
        <w:t> </w:t>
      </w:r>
      <w:r>
        <w:rPr/>
        <w:t>armády –</w:t>
      </w:r>
      <w:r>
        <w:rPr>
          <w:spacing w:val="-4"/>
        </w:rPr>
        <w:t> </w:t>
      </w:r>
      <w:r>
        <w:rPr/>
        <w:t>čp.</w:t>
      </w:r>
      <w:r>
        <w:rPr>
          <w:spacing w:val="-3"/>
        </w:rPr>
        <w:t> </w:t>
      </w:r>
      <w:r>
        <w:rPr/>
        <w:t>9,</w:t>
      </w:r>
      <w:r>
        <w:rPr>
          <w:spacing w:val="-5"/>
        </w:rPr>
        <w:t> </w:t>
      </w:r>
      <w:r>
        <w:rPr/>
        <w:t>71,</w:t>
      </w:r>
      <w:r>
        <w:rPr>
          <w:spacing w:val="-4"/>
        </w:rPr>
        <w:t> </w:t>
      </w:r>
      <w:r>
        <w:rPr/>
        <w:t>10,</w:t>
      </w:r>
      <w:r>
        <w:rPr>
          <w:spacing w:val="-4"/>
        </w:rPr>
        <w:t> </w:t>
      </w:r>
      <w:r>
        <w:rPr/>
        <w:t>11,</w:t>
      </w:r>
      <w:r>
        <w:rPr>
          <w:spacing w:val="-2"/>
        </w:rPr>
        <w:t> </w:t>
      </w:r>
      <w:r>
        <w:rPr/>
        <w:t>385,</w:t>
      </w:r>
      <w:r>
        <w:rPr>
          <w:spacing w:val="-4"/>
        </w:rPr>
        <w:t> </w:t>
      </w:r>
      <w:r>
        <w:rPr/>
        <w:t>15,</w:t>
      </w:r>
      <w:r>
        <w:rPr>
          <w:spacing w:val="-2"/>
        </w:rPr>
        <w:t> </w:t>
      </w:r>
      <w:r>
        <w:rPr/>
        <w:t>16; Na Palackém náměstí (mimo 797), v Komenského ulici.</w:t>
      </w:r>
    </w:p>
    <w:p>
      <w:pPr>
        <w:pStyle w:val="BodyText"/>
        <w:spacing w:before="9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4" w:right="0" w:hanging="358"/>
        <w:jc w:val="left"/>
      </w:pPr>
      <w:r>
        <w:rPr/>
        <w:t>Rozsah</w:t>
      </w:r>
      <w:r>
        <w:rPr>
          <w:spacing w:val="-4"/>
        </w:rPr>
        <w:t> </w:t>
      </w:r>
      <w:r>
        <w:rPr>
          <w:spacing w:val="-2"/>
        </w:rPr>
        <w:t>prací</w:t>
      </w:r>
    </w:p>
    <w:p>
      <w:pPr>
        <w:pStyle w:val="BodyText"/>
        <w:spacing w:before="39"/>
        <w:ind w:left="399"/>
      </w:pPr>
      <w:r>
        <w:rPr/>
        <w:t>Minimálně</w:t>
      </w:r>
      <w:r>
        <w:rPr>
          <w:spacing w:val="-8"/>
        </w:rPr>
        <w:t> </w:t>
      </w:r>
      <w:r>
        <w:rPr/>
        <w:t>provedení</w:t>
      </w:r>
      <w:r>
        <w:rPr>
          <w:spacing w:val="-8"/>
        </w:rPr>
        <w:t> </w:t>
      </w:r>
      <w:r>
        <w:rPr/>
        <w:t>uliční</w:t>
      </w:r>
      <w:r>
        <w:rPr>
          <w:spacing w:val="-5"/>
        </w:rPr>
        <w:t> </w:t>
      </w:r>
      <w:r>
        <w:rPr/>
        <w:t>části</w:t>
      </w:r>
      <w:r>
        <w:rPr>
          <w:spacing w:val="-5"/>
        </w:rPr>
        <w:t> </w:t>
      </w:r>
      <w:r>
        <w:rPr/>
        <w:t>venkovní</w:t>
      </w:r>
      <w:r>
        <w:rPr>
          <w:spacing w:val="-4"/>
        </w:rPr>
        <w:t> </w:t>
      </w:r>
      <w:r>
        <w:rPr/>
        <w:t>omítky</w:t>
      </w:r>
      <w:r>
        <w:rPr>
          <w:spacing w:val="-6"/>
        </w:rPr>
        <w:t> </w:t>
      </w:r>
      <w:r>
        <w:rPr/>
        <w:t>včetně</w:t>
      </w:r>
      <w:r>
        <w:rPr>
          <w:spacing w:val="-4"/>
        </w:rPr>
        <w:t> </w:t>
      </w:r>
      <w:r>
        <w:rPr/>
        <w:t>nátěru</w:t>
      </w:r>
      <w:r>
        <w:rPr>
          <w:spacing w:val="-7"/>
        </w:rPr>
        <w:t> </w:t>
      </w:r>
      <w:r>
        <w:rPr/>
        <w:t>omítky</w:t>
      </w:r>
      <w:r>
        <w:rPr>
          <w:spacing w:val="-5"/>
        </w:rPr>
        <w:t> </w:t>
      </w:r>
      <w:r>
        <w:rPr>
          <w:spacing w:val="-2"/>
        </w:rPr>
        <w:t>objektu.</w:t>
      </w:r>
    </w:p>
    <w:p>
      <w:pPr>
        <w:pStyle w:val="BodyText"/>
        <w:spacing w:before="8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4" w:right="0" w:hanging="358"/>
        <w:jc w:val="left"/>
      </w:pPr>
      <w:r>
        <w:rPr/>
        <w:t>Způsob</w:t>
      </w:r>
      <w:r>
        <w:rPr>
          <w:spacing w:val="-4"/>
        </w:rPr>
        <w:t> </w:t>
      </w:r>
      <w:r>
        <w:rPr/>
        <w:t>provedení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podmínky</w:t>
      </w:r>
    </w:p>
    <w:p>
      <w:pPr>
        <w:pStyle w:val="BodyText"/>
        <w:spacing w:line="276" w:lineRule="auto" w:before="39"/>
        <w:ind w:left="399"/>
      </w:pPr>
      <w:r>
        <w:rPr/>
        <w:t>Na</w:t>
      </w:r>
      <w:r>
        <w:rPr>
          <w:spacing w:val="71"/>
        </w:rPr>
        <w:t> </w:t>
      </w:r>
      <w:r>
        <w:rPr/>
        <w:t>písemný</w:t>
      </w:r>
      <w:r>
        <w:rPr>
          <w:spacing w:val="73"/>
        </w:rPr>
        <w:t> </w:t>
      </w:r>
      <w:r>
        <w:rPr/>
        <w:t>návrh</w:t>
      </w:r>
      <w:r>
        <w:rPr>
          <w:spacing w:val="71"/>
        </w:rPr>
        <w:t> </w:t>
      </w:r>
      <w:r>
        <w:rPr/>
        <w:t>vlastníka</w:t>
      </w:r>
      <w:r>
        <w:rPr>
          <w:spacing w:val="71"/>
        </w:rPr>
        <w:t> </w:t>
      </w:r>
      <w:r>
        <w:rPr/>
        <w:t>objektu</w:t>
      </w:r>
      <w:r>
        <w:rPr>
          <w:spacing w:val="71"/>
        </w:rPr>
        <w:t> </w:t>
      </w:r>
      <w:r>
        <w:rPr/>
        <w:t>bude</w:t>
      </w:r>
      <w:r>
        <w:rPr>
          <w:spacing w:val="72"/>
        </w:rPr>
        <w:t> </w:t>
      </w:r>
      <w:r>
        <w:rPr/>
        <w:t>zástupcem</w:t>
      </w:r>
      <w:r>
        <w:rPr>
          <w:spacing w:val="73"/>
        </w:rPr>
        <w:t> </w:t>
      </w:r>
      <w:r>
        <w:rPr/>
        <w:t>stavební</w:t>
      </w:r>
      <w:r>
        <w:rPr>
          <w:spacing w:val="71"/>
        </w:rPr>
        <w:t> </w:t>
      </w:r>
      <w:r>
        <w:rPr/>
        <w:t>komise</w:t>
      </w:r>
      <w:r>
        <w:rPr>
          <w:spacing w:val="69"/>
        </w:rPr>
        <w:t> </w:t>
      </w:r>
      <w:r>
        <w:rPr/>
        <w:t>města</w:t>
      </w:r>
      <w:r>
        <w:rPr>
          <w:spacing w:val="72"/>
        </w:rPr>
        <w:t> </w:t>
      </w:r>
      <w:r>
        <w:rPr/>
        <w:t>a</w:t>
      </w:r>
      <w:r>
        <w:rPr>
          <w:spacing w:val="71"/>
        </w:rPr>
        <w:t> </w:t>
      </w:r>
      <w:r>
        <w:rPr/>
        <w:t>zástupcem stavebního úřadu odsouhlasen způsob provedení venkovní omítky.</w:t>
      </w:r>
    </w:p>
    <w:p>
      <w:pPr>
        <w:pStyle w:val="BodyText"/>
        <w:spacing w:before="3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834" w:val="left" w:leader="none"/>
        </w:tabs>
        <w:spacing w:line="240" w:lineRule="auto" w:before="1" w:after="0"/>
        <w:ind w:left="834" w:right="0" w:hanging="358"/>
        <w:jc w:val="both"/>
      </w:pPr>
      <w:r>
        <w:rPr/>
        <w:t>Poskytnutí</w:t>
      </w:r>
      <w:r>
        <w:rPr>
          <w:spacing w:val="-8"/>
        </w:rPr>
        <w:t> </w:t>
      </w:r>
      <w:r>
        <w:rPr>
          <w:spacing w:val="-2"/>
        </w:rPr>
        <w:t>příspěvku</w:t>
      </w:r>
    </w:p>
    <w:p>
      <w:pPr>
        <w:pStyle w:val="BodyText"/>
        <w:spacing w:line="276" w:lineRule="auto" w:before="41"/>
        <w:ind w:left="399" w:right="112"/>
        <w:jc w:val="both"/>
      </w:pPr>
      <w:r>
        <w:rPr/>
        <w:t>Příspěvek bude poskytnut přihlášeným vlastníkům objektů, kteří splní podmínky těchto zásad. Ukončení prací oznámí vlastník městskému úřadu. Splnění podmínek potvrdí zástupce stavební komise a stavebního úřadu. Poté lze příspěvek vyplatit. O poskytnutí příspěvku bude s vlastníkem objektu sepsána smlouva o poskytnutí dotace. Při nesplnění podmínek nebude příspěvek poskytnut. V</w:t>
      </w:r>
      <w:r>
        <w:rPr>
          <w:spacing w:val="-1"/>
        </w:rPr>
        <w:t> </w:t>
      </w:r>
      <w:r>
        <w:rPr/>
        <w:t>případě, že v</w:t>
      </w:r>
      <w:r>
        <w:rPr>
          <w:spacing w:val="-1"/>
        </w:rPr>
        <w:t> </w:t>
      </w:r>
      <w:r>
        <w:rPr/>
        <w:t>daném kalendářním roce bude již položka pro udělování příspěvků vyčerpána, bude žádost přeřazena do dalšího roku. Na poskytnutí příspěvku není právní nárok.</w:t>
      </w:r>
    </w:p>
    <w:p>
      <w:pPr>
        <w:pStyle w:val="BodyText"/>
        <w:spacing w:before="4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4" w:right="0" w:hanging="358"/>
        <w:jc w:val="both"/>
      </w:pPr>
      <w:r>
        <w:rPr/>
        <w:t>Výše</w:t>
      </w:r>
      <w:r>
        <w:rPr>
          <w:spacing w:val="-2"/>
        </w:rPr>
        <w:t> příspěvku</w:t>
      </w:r>
    </w:p>
    <w:p>
      <w:pPr>
        <w:pStyle w:val="BodyText"/>
        <w:spacing w:before="41"/>
        <w:ind w:left="399"/>
      </w:pPr>
      <w:r>
        <w:rPr/>
        <w:t>Výše</w:t>
      </w:r>
      <w:r>
        <w:rPr>
          <w:spacing w:val="-3"/>
        </w:rPr>
        <w:t> </w:t>
      </w:r>
      <w:r>
        <w:rPr/>
        <w:t>příspěvku</w:t>
      </w:r>
      <w:r>
        <w:rPr>
          <w:spacing w:val="-5"/>
        </w:rPr>
        <w:t> </w:t>
      </w:r>
      <w:r>
        <w:rPr/>
        <w:t>činí</w:t>
      </w:r>
      <w:r>
        <w:rPr>
          <w:spacing w:val="-4"/>
        </w:rPr>
        <w:t> </w:t>
      </w:r>
      <w:r>
        <w:rPr/>
        <w:t>max.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000,-</w:t>
      </w:r>
      <w:r>
        <w:rPr>
          <w:spacing w:val="-5"/>
        </w:rPr>
        <w:t> Kč.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4" w:right="0" w:hanging="358"/>
        <w:jc w:val="left"/>
        <w:rPr>
          <w:sz w:val="22"/>
        </w:rPr>
      </w:pPr>
      <w:r>
        <w:rPr>
          <w:sz w:val="22"/>
        </w:rPr>
        <w:t>Tyto</w:t>
      </w:r>
      <w:r>
        <w:rPr>
          <w:spacing w:val="-3"/>
          <w:sz w:val="22"/>
        </w:rPr>
        <w:t> </w:t>
      </w:r>
      <w:r>
        <w:rPr>
          <w:sz w:val="22"/>
        </w:rPr>
        <w:t>zásady</w:t>
      </w:r>
      <w:r>
        <w:rPr>
          <w:spacing w:val="-3"/>
          <w:sz w:val="22"/>
        </w:rPr>
        <w:t> </w:t>
      </w:r>
      <w:r>
        <w:rPr>
          <w:sz w:val="22"/>
        </w:rPr>
        <w:t>schválila</w:t>
      </w:r>
      <w:r>
        <w:rPr>
          <w:spacing w:val="-4"/>
          <w:sz w:val="22"/>
        </w:rPr>
        <w:t> </w:t>
      </w:r>
      <w:r>
        <w:rPr>
          <w:sz w:val="22"/>
        </w:rPr>
        <w:t>rada</w:t>
      </w:r>
      <w:r>
        <w:rPr>
          <w:spacing w:val="-5"/>
          <w:sz w:val="22"/>
        </w:rPr>
        <w:t> </w:t>
      </w:r>
      <w:r>
        <w:rPr>
          <w:sz w:val="22"/>
        </w:rPr>
        <w:t>města</w:t>
      </w:r>
      <w:r>
        <w:rPr>
          <w:spacing w:val="-3"/>
          <w:sz w:val="22"/>
        </w:rPr>
        <w:t> </w:t>
      </w:r>
      <w:r>
        <w:rPr>
          <w:sz w:val="22"/>
        </w:rPr>
        <w:t>Zdice</w:t>
      </w:r>
      <w:r>
        <w:rPr>
          <w:spacing w:val="-5"/>
          <w:sz w:val="22"/>
        </w:rPr>
        <w:t> </w:t>
      </w:r>
      <w:r>
        <w:rPr>
          <w:sz w:val="22"/>
        </w:rPr>
        <w:t>dne</w:t>
      </w:r>
      <w:r>
        <w:rPr>
          <w:spacing w:val="-3"/>
          <w:sz w:val="22"/>
        </w:rPr>
        <w:t> </w:t>
      </w:r>
      <w:r>
        <w:rPr>
          <w:sz w:val="22"/>
        </w:rPr>
        <w:t>20.</w:t>
      </w:r>
      <w:r>
        <w:rPr>
          <w:spacing w:val="-6"/>
          <w:sz w:val="22"/>
        </w:rPr>
        <w:t> </w:t>
      </w:r>
      <w:r>
        <w:rPr>
          <w:sz w:val="22"/>
        </w:rPr>
        <w:t>2.</w:t>
      </w:r>
      <w:r>
        <w:rPr>
          <w:spacing w:val="-3"/>
          <w:sz w:val="22"/>
        </w:rPr>
        <w:t> </w:t>
      </w:r>
      <w:r>
        <w:rPr>
          <w:sz w:val="22"/>
        </w:rPr>
        <w:t>2023</w:t>
      </w:r>
      <w:r>
        <w:rPr>
          <w:spacing w:val="-3"/>
          <w:sz w:val="22"/>
        </w:rPr>
        <w:t> </w:t>
      </w:r>
      <w:r>
        <w:rPr>
          <w:sz w:val="22"/>
        </w:rPr>
        <w:t>usnesením</w:t>
      </w:r>
      <w:r>
        <w:rPr>
          <w:spacing w:val="-4"/>
          <w:sz w:val="22"/>
        </w:rPr>
        <w:t> </w:t>
      </w:r>
      <w:r>
        <w:rPr>
          <w:sz w:val="22"/>
        </w:rPr>
        <w:t>č.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35/23.</w:t>
      </w:r>
    </w:p>
    <w:p>
      <w:pPr>
        <w:pStyle w:val="BodyText"/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ind w:left="399"/>
      </w:pPr>
      <w:r>
        <w:rPr/>
        <w:t>Tyto</w:t>
      </w:r>
      <w:r>
        <w:rPr>
          <w:spacing w:val="-2"/>
        </w:rPr>
        <w:t> </w:t>
      </w:r>
      <w:r>
        <w:rPr/>
        <w:t>zásady</w:t>
      </w:r>
      <w:r>
        <w:rPr>
          <w:spacing w:val="-2"/>
        </w:rPr>
        <w:t> </w:t>
      </w:r>
      <w:r>
        <w:rPr/>
        <w:t>jsou</w:t>
      </w:r>
      <w:r>
        <w:rPr>
          <w:spacing w:val="-3"/>
        </w:rPr>
        <w:t> </w:t>
      </w:r>
      <w:r>
        <w:rPr/>
        <w:t>platné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účinné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/>
        <w:t>21.</w:t>
      </w:r>
      <w:r>
        <w:rPr>
          <w:spacing w:val="-5"/>
        </w:rPr>
        <w:t> </w:t>
      </w:r>
      <w:r>
        <w:rPr/>
        <w:t>2.</w:t>
      </w:r>
      <w:r>
        <w:rPr>
          <w:spacing w:val="-4"/>
        </w:rPr>
        <w:t> 2023</w:t>
      </w:r>
    </w:p>
    <w:p>
      <w:pPr>
        <w:pStyle w:val="BodyText"/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ind w:left="399"/>
      </w:pPr>
      <w:r>
        <w:rPr/>
        <w:t>Bc.</w:t>
      </w:r>
      <w:r>
        <w:rPr>
          <w:spacing w:val="-4"/>
        </w:rPr>
        <w:t> </w:t>
      </w:r>
      <w:r>
        <w:rPr/>
        <w:t>Antonín</w:t>
      </w:r>
      <w:r>
        <w:rPr>
          <w:spacing w:val="-6"/>
        </w:rPr>
        <w:t> </w:t>
      </w:r>
      <w:r>
        <w:rPr/>
        <w:t>Sklenář,</w:t>
      </w:r>
      <w:r>
        <w:rPr>
          <w:spacing w:val="-5"/>
        </w:rPr>
        <w:t> MBA</w:t>
      </w:r>
    </w:p>
    <w:p>
      <w:pPr>
        <w:pStyle w:val="BodyText"/>
        <w:ind w:left="399"/>
      </w:pPr>
      <w:r>
        <w:rPr/>
        <w:t>starosta</w:t>
      </w:r>
      <w:r>
        <w:rPr>
          <w:spacing w:val="-7"/>
        </w:rPr>
        <w:t> </w:t>
      </w:r>
      <w:r>
        <w:rPr>
          <w:spacing w:val="-2"/>
        </w:rPr>
        <w:t>města</w:t>
      </w:r>
    </w:p>
    <w:sectPr>
      <w:type w:val="continuous"/>
      <w:pgSz w:w="11910" w:h="16840"/>
      <w:pgMar w:top="13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834" w:hanging="358"/>
      <w:outlineLvl w:val="1"/>
    </w:pPr>
    <w:rPr>
      <w:rFonts w:ascii="Calibri" w:hAnsi="Calibri" w:eastAsia="Calibri" w:cs="Calibri"/>
      <w:b/>
      <w:bCs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ind w:left="116"/>
    </w:pPr>
    <w:rPr>
      <w:rFonts w:ascii="Calibri" w:hAnsi="Calibri" w:eastAsia="Calibri" w:cs="Calibri"/>
      <w:b/>
      <w:bCs/>
      <w:sz w:val="32"/>
      <w:szCs w:val="3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834" w:hanging="358"/>
    </w:pPr>
    <w:rPr>
      <w:rFonts w:ascii="Calibri" w:hAnsi="Calibri" w:eastAsia="Calibri" w:cs="Calibr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dcterms:created xsi:type="dcterms:W3CDTF">2023-10-19T09:54:55Z</dcterms:created>
  <dcterms:modified xsi:type="dcterms:W3CDTF">2023-10-19T09:54:55Z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2023-10-19T00:00:00Z</vt:filetime>
  </property>
  <property fmtid="{D5CDD505-2E9C-101B-9397-08002B2CF9AE}" pid="5" name="Producer">
    <vt:lpwstr>Microsoft® Word 2019</vt:lpwstr>
  </property>
</Properties>
</file>